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6192" w14:textId="4698AF1C" w:rsidR="009C255D" w:rsidRPr="00DD4BC3" w:rsidRDefault="009C255D" w:rsidP="009C255D">
      <w:pPr>
        <w:jc w:val="center"/>
        <w:rPr>
          <w:rFonts w:ascii="Arial" w:hAnsi="Arial" w:cs="Arial"/>
          <w:b/>
          <w:bCs/>
        </w:rPr>
      </w:pPr>
      <w:r w:rsidRPr="00DD4BC3">
        <w:rPr>
          <w:rFonts w:ascii="Arial" w:hAnsi="Arial" w:cs="Arial"/>
          <w:b/>
          <w:bCs/>
        </w:rPr>
        <w:t xml:space="preserve">NACE </w:t>
      </w:r>
      <w:r>
        <w:rPr>
          <w:rFonts w:ascii="Arial" w:hAnsi="Arial" w:cs="Arial"/>
          <w:b/>
          <w:bCs/>
        </w:rPr>
        <w:t xml:space="preserve">Career </w:t>
      </w:r>
      <w:r w:rsidRPr="00DD4BC3">
        <w:rPr>
          <w:rFonts w:ascii="Arial" w:hAnsi="Arial" w:cs="Arial"/>
          <w:b/>
          <w:bCs/>
        </w:rPr>
        <w:t>Competencies Reflection</w:t>
      </w:r>
    </w:p>
    <w:p w14:paraId="61CBF745" w14:textId="77777777" w:rsidR="009C255D" w:rsidRPr="00DD4BC3" w:rsidRDefault="009C255D" w:rsidP="009C255D">
      <w:pPr>
        <w:jc w:val="center"/>
      </w:pPr>
      <w:r w:rsidRPr="00DD4BC3">
        <w:t xml:space="preserve">The National Association for Colleges and Employers (NACE) defined </w:t>
      </w:r>
      <w:r w:rsidRPr="009C255D">
        <w:rPr>
          <w:b/>
          <w:bCs/>
        </w:rPr>
        <w:t>career readiness</w:t>
      </w:r>
      <w:r w:rsidRPr="00DD4BC3">
        <w:t xml:space="preserve"> as a foundation from which to demonstrate requisite core competencies that broadly prepare the college educated for success in the workplace and lifelong career management. This resource will help students reflect on their current skill development and consider how they want to prioritize their professional growth after this activity.</w:t>
      </w:r>
    </w:p>
    <w:p w14:paraId="68DA0BF9" w14:textId="77777777" w:rsidR="009C255D" w:rsidRDefault="009C255D" w:rsidP="009C255D">
      <w:pPr>
        <w:rPr>
          <w:b/>
          <w:bCs/>
          <w:highlight w:val="yellow"/>
        </w:rPr>
      </w:pPr>
    </w:p>
    <w:p w14:paraId="100A3D9B" w14:textId="77777777" w:rsidR="009C255D" w:rsidRDefault="009C255D" w:rsidP="009C255D">
      <w:pPr>
        <w:spacing w:line="240" w:lineRule="auto"/>
        <w:rPr>
          <w:rFonts w:ascii="Arial" w:hAnsi="Arial" w:cs="Arial"/>
          <w:b/>
          <w:bCs/>
        </w:rPr>
      </w:pPr>
      <w:r w:rsidRPr="00DD4BC3">
        <w:rPr>
          <w:rFonts w:ascii="Arial" w:hAnsi="Arial" w:cs="Arial"/>
          <w:b/>
          <w:bCs/>
        </w:rPr>
        <w:t>Overview of the NACE Career Competencies:</w:t>
      </w:r>
    </w:p>
    <w:p w14:paraId="73EA173B" w14:textId="77777777" w:rsidR="009C255D" w:rsidRDefault="009C255D" w:rsidP="009C255D">
      <w:pPr>
        <w:spacing w:line="276" w:lineRule="auto"/>
        <w:rPr>
          <w:rFonts w:cstheme="minorHAnsi"/>
        </w:rPr>
      </w:pPr>
      <w:r w:rsidRPr="00CA78EF">
        <w:rPr>
          <w:rFonts w:cstheme="minorHAnsi"/>
        </w:rPr>
        <w:t>In the table below, reflect on your skill level considering the definitions of each competency area.</w:t>
      </w:r>
      <w:r>
        <w:rPr>
          <w:rFonts w:cstheme="minorHAnsi"/>
        </w:rPr>
        <w:t xml:space="preserve"> Consider your previous employment history, classroom assignments, and other activities you participated in that developed your skills in the competency areas.</w:t>
      </w:r>
      <w:r w:rsidRPr="00CA78EF">
        <w:rPr>
          <w:rFonts w:cstheme="minorHAnsi"/>
        </w:rPr>
        <w:t xml:space="preserve"> </w:t>
      </w:r>
    </w:p>
    <w:p w14:paraId="768A2DEA" w14:textId="77777777" w:rsidR="009C255D" w:rsidRDefault="009C255D" w:rsidP="009C255D">
      <w:pPr>
        <w:spacing w:line="276" w:lineRule="auto"/>
        <w:rPr>
          <w:rFonts w:cstheme="minorHAnsi"/>
        </w:rPr>
      </w:pPr>
      <w:r w:rsidRPr="00FF5C33">
        <w:rPr>
          <w:rFonts w:cstheme="minorHAnsi"/>
          <w:b/>
          <w:bCs/>
        </w:rPr>
        <w:t>Rate yourself on a scale from 1 – 5</w:t>
      </w:r>
      <w:r>
        <w:rPr>
          <w:rFonts w:cstheme="minorHAnsi"/>
        </w:rPr>
        <w:t>, with 1 being a low skill level and 5 a high skill level. Then write down the three skill areas you want to keep growing in:</w:t>
      </w:r>
    </w:p>
    <w:p w14:paraId="2E105109" w14:textId="77777777" w:rsidR="009C255D" w:rsidRDefault="009C255D" w:rsidP="009C255D">
      <w:pPr>
        <w:spacing w:line="276" w:lineRule="auto"/>
        <w:rPr>
          <w:rFonts w:cstheme="minorHAnsi"/>
        </w:rPr>
      </w:pPr>
    </w:p>
    <w:p w14:paraId="430196D1" w14:textId="77777777" w:rsidR="009C255D" w:rsidRDefault="009C255D" w:rsidP="009C255D">
      <w:pPr>
        <w:pStyle w:val="ListParagraph"/>
        <w:numPr>
          <w:ilvl w:val="0"/>
          <w:numId w:val="1"/>
        </w:numPr>
        <w:spacing w:line="480" w:lineRule="auto"/>
        <w:rPr>
          <w:rFonts w:cstheme="minorHAnsi"/>
        </w:rPr>
      </w:pPr>
      <w:r>
        <w:rPr>
          <w:rFonts w:cstheme="minorHAnsi"/>
        </w:rPr>
        <w:t>_________________________________________________________________</w:t>
      </w:r>
    </w:p>
    <w:p w14:paraId="2F03B3E2" w14:textId="77777777" w:rsidR="009C255D" w:rsidRDefault="009C255D" w:rsidP="009C255D">
      <w:pPr>
        <w:pStyle w:val="ListParagraph"/>
        <w:numPr>
          <w:ilvl w:val="0"/>
          <w:numId w:val="1"/>
        </w:numPr>
        <w:spacing w:line="480" w:lineRule="auto"/>
        <w:rPr>
          <w:rFonts w:cstheme="minorHAnsi"/>
        </w:rPr>
      </w:pPr>
      <w:r>
        <w:rPr>
          <w:rFonts w:cstheme="minorHAnsi"/>
        </w:rPr>
        <w:t>_________________________________________________________________</w:t>
      </w:r>
    </w:p>
    <w:p w14:paraId="3C18A46B" w14:textId="77777777" w:rsidR="009C255D" w:rsidRDefault="009C255D" w:rsidP="009C255D">
      <w:pPr>
        <w:pStyle w:val="ListParagraph"/>
        <w:numPr>
          <w:ilvl w:val="0"/>
          <w:numId w:val="1"/>
        </w:numPr>
        <w:spacing w:line="480" w:lineRule="auto"/>
        <w:rPr>
          <w:rFonts w:cstheme="minorHAnsi"/>
        </w:rPr>
      </w:pPr>
      <w:r>
        <w:rPr>
          <w:rFonts w:cstheme="minorHAnsi"/>
        </w:rPr>
        <w:t>_________________________________________________________________</w:t>
      </w:r>
    </w:p>
    <w:p w14:paraId="18686302" w14:textId="77777777" w:rsidR="009C255D" w:rsidRPr="0095094B" w:rsidRDefault="009C255D" w:rsidP="009C255D">
      <w:pPr>
        <w:pStyle w:val="ListParagraph"/>
        <w:spacing w:line="276" w:lineRule="auto"/>
        <w:rPr>
          <w:rFonts w:cstheme="minorHAnsi"/>
        </w:rPr>
      </w:pPr>
    </w:p>
    <w:p w14:paraId="77AAF7CC" w14:textId="77777777" w:rsidR="009C255D" w:rsidRPr="00CA78EF" w:rsidRDefault="009C255D" w:rsidP="009C255D">
      <w:pPr>
        <w:spacing w:line="276" w:lineRule="auto"/>
        <w:rPr>
          <w:rFonts w:cstheme="minorHAnsi"/>
        </w:rPr>
      </w:pPr>
    </w:p>
    <w:tbl>
      <w:tblPr>
        <w:tblStyle w:val="TableGrid"/>
        <w:tblW w:w="0" w:type="auto"/>
        <w:tblLook w:val="04A0" w:firstRow="1" w:lastRow="0" w:firstColumn="1" w:lastColumn="0" w:noHBand="0" w:noVBand="1"/>
      </w:tblPr>
      <w:tblGrid>
        <w:gridCol w:w="3339"/>
        <w:gridCol w:w="3315"/>
        <w:gridCol w:w="2696"/>
      </w:tblGrid>
      <w:tr w:rsidR="009C255D" w:rsidRPr="008F2507" w14:paraId="0B976C81" w14:textId="77777777" w:rsidTr="00F63017">
        <w:tc>
          <w:tcPr>
            <w:tcW w:w="3339" w:type="dxa"/>
          </w:tcPr>
          <w:p w14:paraId="74F15686" w14:textId="77777777" w:rsidR="009C255D" w:rsidRPr="00DD4BC3" w:rsidRDefault="009C255D" w:rsidP="00F63017">
            <w:pPr>
              <w:spacing w:line="480" w:lineRule="auto"/>
              <w:rPr>
                <w:rFonts w:ascii="Arial" w:hAnsi="Arial" w:cs="Arial"/>
                <w:b/>
                <w:bCs/>
              </w:rPr>
            </w:pPr>
            <w:r w:rsidRPr="00DD4BC3">
              <w:rPr>
                <w:rFonts w:ascii="Arial" w:hAnsi="Arial" w:cs="Arial"/>
                <w:b/>
                <w:bCs/>
              </w:rPr>
              <w:t>Competency Name</w:t>
            </w:r>
          </w:p>
        </w:tc>
        <w:tc>
          <w:tcPr>
            <w:tcW w:w="3315" w:type="dxa"/>
          </w:tcPr>
          <w:p w14:paraId="699157FA" w14:textId="77777777" w:rsidR="009C255D" w:rsidRPr="00DD4BC3" w:rsidRDefault="009C255D" w:rsidP="00F63017">
            <w:pPr>
              <w:spacing w:line="480" w:lineRule="auto"/>
              <w:rPr>
                <w:rFonts w:ascii="Arial" w:hAnsi="Arial" w:cs="Arial"/>
                <w:b/>
                <w:bCs/>
              </w:rPr>
            </w:pPr>
            <w:r w:rsidRPr="00DD4BC3">
              <w:rPr>
                <w:rFonts w:ascii="Arial" w:hAnsi="Arial" w:cs="Arial"/>
                <w:b/>
                <w:bCs/>
              </w:rPr>
              <w:t>Description</w:t>
            </w:r>
          </w:p>
        </w:tc>
        <w:tc>
          <w:tcPr>
            <w:tcW w:w="2696" w:type="dxa"/>
          </w:tcPr>
          <w:p w14:paraId="07E8F10F" w14:textId="77777777" w:rsidR="009C255D" w:rsidRDefault="009C255D" w:rsidP="00F63017">
            <w:pPr>
              <w:spacing w:line="276" w:lineRule="auto"/>
              <w:rPr>
                <w:rFonts w:ascii="Arial" w:hAnsi="Arial" w:cs="Arial"/>
                <w:b/>
                <w:bCs/>
              </w:rPr>
            </w:pPr>
            <w:r>
              <w:rPr>
                <w:rFonts w:ascii="Arial" w:hAnsi="Arial" w:cs="Arial"/>
                <w:b/>
                <w:bCs/>
              </w:rPr>
              <w:t>Self-Rating (1-5):</w:t>
            </w:r>
          </w:p>
          <w:p w14:paraId="0E747AC2" w14:textId="77777777" w:rsidR="009C255D" w:rsidRDefault="009C255D" w:rsidP="00F63017">
            <w:pPr>
              <w:spacing w:line="276" w:lineRule="auto"/>
              <w:rPr>
                <w:rFonts w:ascii="Arial" w:hAnsi="Arial" w:cs="Arial"/>
                <w:b/>
                <w:bCs/>
              </w:rPr>
            </w:pPr>
            <w:r>
              <w:rPr>
                <w:rFonts w:ascii="Arial" w:hAnsi="Arial" w:cs="Arial"/>
                <w:b/>
                <w:bCs/>
              </w:rPr>
              <w:t>1 = Low Skill Level</w:t>
            </w:r>
          </w:p>
          <w:p w14:paraId="259621B2" w14:textId="77777777" w:rsidR="009C255D" w:rsidRPr="00DD4BC3" w:rsidRDefault="009C255D" w:rsidP="00F63017">
            <w:pPr>
              <w:spacing w:line="276" w:lineRule="auto"/>
              <w:rPr>
                <w:rFonts w:ascii="Arial" w:hAnsi="Arial" w:cs="Arial"/>
                <w:b/>
                <w:bCs/>
              </w:rPr>
            </w:pPr>
            <w:r>
              <w:rPr>
                <w:rFonts w:ascii="Arial" w:hAnsi="Arial" w:cs="Arial"/>
                <w:b/>
                <w:bCs/>
              </w:rPr>
              <w:t xml:space="preserve">5 = High Skill Level </w:t>
            </w:r>
          </w:p>
        </w:tc>
      </w:tr>
      <w:tr w:rsidR="009C255D" w14:paraId="62AD4BBB" w14:textId="77777777" w:rsidTr="00F63017">
        <w:tc>
          <w:tcPr>
            <w:tcW w:w="3339" w:type="dxa"/>
          </w:tcPr>
          <w:p w14:paraId="4B2A453D" w14:textId="77777777" w:rsidR="009C255D" w:rsidRPr="00DD4BC3" w:rsidRDefault="009C255D" w:rsidP="00F63017">
            <w:pPr>
              <w:rPr>
                <w:b/>
                <w:bCs/>
              </w:rPr>
            </w:pPr>
            <w:r w:rsidRPr="00DD4BC3">
              <w:rPr>
                <w:b/>
                <w:bCs/>
              </w:rPr>
              <w:t>Career and Self Development</w:t>
            </w:r>
          </w:p>
        </w:tc>
        <w:tc>
          <w:tcPr>
            <w:tcW w:w="3315" w:type="dxa"/>
          </w:tcPr>
          <w:p w14:paraId="2FAF0DBA" w14:textId="77777777" w:rsidR="009C255D" w:rsidRPr="00FF5C33" w:rsidRDefault="009C255D" w:rsidP="00F63017">
            <w:pPr>
              <w:rPr>
                <w:sz w:val="18"/>
                <w:szCs w:val="18"/>
              </w:rPr>
            </w:pPr>
            <w:r w:rsidRPr="00FF5C33">
              <w:rPr>
                <w:sz w:val="18"/>
                <w:szCs w:val="18"/>
              </w:rPr>
              <w:t>Proactively develop oneself and one’s career through continual personal and professional learning, awareness of one’ strengths and weaknesses, navigation of career opportunities, and networking to build relationships within and without one’s organization</w:t>
            </w:r>
          </w:p>
        </w:tc>
        <w:tc>
          <w:tcPr>
            <w:tcW w:w="2696" w:type="dxa"/>
          </w:tcPr>
          <w:p w14:paraId="69AE66DE" w14:textId="77777777" w:rsidR="009C255D" w:rsidRDefault="009C255D" w:rsidP="00F63017"/>
        </w:tc>
      </w:tr>
      <w:tr w:rsidR="009C255D" w14:paraId="2EBABCB2" w14:textId="77777777" w:rsidTr="00F63017">
        <w:tc>
          <w:tcPr>
            <w:tcW w:w="3339" w:type="dxa"/>
          </w:tcPr>
          <w:p w14:paraId="2D3F3328" w14:textId="77777777" w:rsidR="009C255D" w:rsidRPr="00DD4BC3" w:rsidRDefault="009C255D" w:rsidP="00F63017">
            <w:pPr>
              <w:rPr>
                <w:b/>
                <w:bCs/>
              </w:rPr>
            </w:pPr>
            <w:r w:rsidRPr="00DD4BC3">
              <w:rPr>
                <w:b/>
                <w:bCs/>
              </w:rPr>
              <w:t>Communication</w:t>
            </w:r>
          </w:p>
        </w:tc>
        <w:tc>
          <w:tcPr>
            <w:tcW w:w="3315" w:type="dxa"/>
          </w:tcPr>
          <w:p w14:paraId="6C9A406C" w14:textId="77777777" w:rsidR="009C255D" w:rsidRPr="00FF5C33" w:rsidRDefault="009C255D" w:rsidP="00F63017">
            <w:pPr>
              <w:rPr>
                <w:sz w:val="18"/>
                <w:szCs w:val="18"/>
              </w:rPr>
            </w:pPr>
            <w:r w:rsidRPr="00FF5C33">
              <w:rPr>
                <w:sz w:val="18"/>
                <w:szCs w:val="18"/>
              </w:rPr>
              <w:t>Clearly and effectively exchange information, ideas, facts, and perspectives with persons inside and outside of an organization</w:t>
            </w:r>
          </w:p>
        </w:tc>
        <w:tc>
          <w:tcPr>
            <w:tcW w:w="2696" w:type="dxa"/>
          </w:tcPr>
          <w:p w14:paraId="74A66698" w14:textId="77777777" w:rsidR="009C255D" w:rsidRDefault="009C255D" w:rsidP="00F63017"/>
        </w:tc>
      </w:tr>
      <w:tr w:rsidR="009C255D" w14:paraId="6E31B04D" w14:textId="77777777" w:rsidTr="00F63017">
        <w:tc>
          <w:tcPr>
            <w:tcW w:w="3339" w:type="dxa"/>
          </w:tcPr>
          <w:p w14:paraId="4CE5CCA9" w14:textId="77777777" w:rsidR="009C255D" w:rsidRPr="00DD4BC3" w:rsidRDefault="009C255D" w:rsidP="00F63017">
            <w:pPr>
              <w:rPr>
                <w:b/>
                <w:bCs/>
              </w:rPr>
            </w:pPr>
            <w:r w:rsidRPr="00DD4BC3">
              <w:rPr>
                <w:b/>
                <w:bCs/>
              </w:rPr>
              <w:t>Critical Thinking</w:t>
            </w:r>
          </w:p>
        </w:tc>
        <w:tc>
          <w:tcPr>
            <w:tcW w:w="3315" w:type="dxa"/>
          </w:tcPr>
          <w:p w14:paraId="26E93AA0" w14:textId="77777777" w:rsidR="009C255D" w:rsidRPr="00FF5C33" w:rsidRDefault="009C255D" w:rsidP="00F63017">
            <w:pPr>
              <w:rPr>
                <w:sz w:val="18"/>
                <w:szCs w:val="18"/>
              </w:rPr>
            </w:pPr>
            <w:r w:rsidRPr="00FF5C33">
              <w:rPr>
                <w:sz w:val="18"/>
                <w:szCs w:val="18"/>
              </w:rPr>
              <w:t>Identify and respond to needs based upon an understanding of situational context and logical analysis of relevant information</w:t>
            </w:r>
          </w:p>
        </w:tc>
        <w:tc>
          <w:tcPr>
            <w:tcW w:w="2696" w:type="dxa"/>
          </w:tcPr>
          <w:p w14:paraId="5C7ACDB0" w14:textId="77777777" w:rsidR="009C255D" w:rsidRDefault="009C255D" w:rsidP="00F63017"/>
        </w:tc>
      </w:tr>
      <w:tr w:rsidR="009C255D" w14:paraId="0DC011E2" w14:textId="77777777" w:rsidTr="00F63017">
        <w:tc>
          <w:tcPr>
            <w:tcW w:w="3339" w:type="dxa"/>
          </w:tcPr>
          <w:p w14:paraId="0345723D" w14:textId="77777777" w:rsidR="009C255D" w:rsidRPr="00DD4BC3" w:rsidRDefault="009C255D" w:rsidP="00F63017">
            <w:pPr>
              <w:rPr>
                <w:b/>
                <w:bCs/>
              </w:rPr>
            </w:pPr>
            <w:r w:rsidRPr="00DD4BC3">
              <w:rPr>
                <w:b/>
                <w:bCs/>
              </w:rPr>
              <w:t>Equity and Inclusion</w:t>
            </w:r>
          </w:p>
        </w:tc>
        <w:tc>
          <w:tcPr>
            <w:tcW w:w="3315" w:type="dxa"/>
          </w:tcPr>
          <w:p w14:paraId="1A3C2FCE" w14:textId="77777777" w:rsidR="009C255D" w:rsidRPr="00FF5C33" w:rsidRDefault="009C255D" w:rsidP="00F63017">
            <w:pPr>
              <w:rPr>
                <w:sz w:val="18"/>
                <w:szCs w:val="18"/>
              </w:rPr>
            </w:pPr>
            <w:r w:rsidRPr="00FF5C33">
              <w:rPr>
                <w:sz w:val="18"/>
                <w:szCs w:val="18"/>
              </w:rPr>
              <w:t xml:space="preserve">Demonstrate the awareness, attitude, knowledge, and skills required to equitably engage and include people from different local and global cultures. Engage </w:t>
            </w:r>
            <w:r w:rsidRPr="00FF5C33">
              <w:rPr>
                <w:sz w:val="18"/>
                <w:szCs w:val="18"/>
              </w:rPr>
              <w:lastRenderedPageBreak/>
              <w:t>in anti-racist practices that actively challenge the systems, structures, and policies of racism</w:t>
            </w:r>
          </w:p>
        </w:tc>
        <w:tc>
          <w:tcPr>
            <w:tcW w:w="2696" w:type="dxa"/>
          </w:tcPr>
          <w:p w14:paraId="1202BAAC" w14:textId="77777777" w:rsidR="009C255D" w:rsidRDefault="009C255D" w:rsidP="00F63017"/>
        </w:tc>
      </w:tr>
      <w:tr w:rsidR="009C255D" w14:paraId="345082AF" w14:textId="77777777" w:rsidTr="00F63017">
        <w:tc>
          <w:tcPr>
            <w:tcW w:w="3339" w:type="dxa"/>
          </w:tcPr>
          <w:p w14:paraId="1C7AC3D3" w14:textId="77777777" w:rsidR="009C255D" w:rsidRPr="00DD4BC3" w:rsidRDefault="009C255D" w:rsidP="00F63017">
            <w:pPr>
              <w:rPr>
                <w:b/>
                <w:bCs/>
              </w:rPr>
            </w:pPr>
            <w:r w:rsidRPr="00DD4BC3">
              <w:rPr>
                <w:b/>
                <w:bCs/>
              </w:rPr>
              <w:t>Leadership</w:t>
            </w:r>
          </w:p>
        </w:tc>
        <w:tc>
          <w:tcPr>
            <w:tcW w:w="3315" w:type="dxa"/>
          </w:tcPr>
          <w:p w14:paraId="2CB73C63" w14:textId="77777777" w:rsidR="009C255D" w:rsidRPr="00FF5C33" w:rsidRDefault="009C255D" w:rsidP="00F63017">
            <w:pPr>
              <w:rPr>
                <w:sz w:val="18"/>
                <w:szCs w:val="18"/>
              </w:rPr>
            </w:pPr>
            <w:r w:rsidRPr="00FF5C33">
              <w:rPr>
                <w:sz w:val="18"/>
                <w:szCs w:val="18"/>
              </w:rPr>
              <w:t>Recognize and capitalize on personal and team strengths to achieve organizational goals</w:t>
            </w:r>
          </w:p>
        </w:tc>
        <w:tc>
          <w:tcPr>
            <w:tcW w:w="2696" w:type="dxa"/>
          </w:tcPr>
          <w:p w14:paraId="0C94676D" w14:textId="77777777" w:rsidR="009C255D" w:rsidRDefault="009C255D" w:rsidP="00F63017"/>
        </w:tc>
      </w:tr>
      <w:tr w:rsidR="009C255D" w14:paraId="3EE4555A" w14:textId="77777777" w:rsidTr="00F63017">
        <w:tc>
          <w:tcPr>
            <w:tcW w:w="3339" w:type="dxa"/>
          </w:tcPr>
          <w:p w14:paraId="0FB2555C" w14:textId="77777777" w:rsidR="009C255D" w:rsidRPr="00DD4BC3" w:rsidRDefault="009C255D" w:rsidP="00F63017">
            <w:pPr>
              <w:rPr>
                <w:b/>
                <w:bCs/>
              </w:rPr>
            </w:pPr>
            <w:r w:rsidRPr="00DD4BC3">
              <w:rPr>
                <w:b/>
                <w:bCs/>
              </w:rPr>
              <w:t>Professionalism</w:t>
            </w:r>
          </w:p>
        </w:tc>
        <w:tc>
          <w:tcPr>
            <w:tcW w:w="3315" w:type="dxa"/>
          </w:tcPr>
          <w:p w14:paraId="47815F79" w14:textId="77777777" w:rsidR="009C255D" w:rsidRDefault="009C255D" w:rsidP="00F63017">
            <w:pPr>
              <w:rPr>
                <w:sz w:val="18"/>
                <w:szCs w:val="18"/>
              </w:rPr>
            </w:pPr>
            <w:r w:rsidRPr="00FF5C33">
              <w:rPr>
                <w:sz w:val="18"/>
                <w:szCs w:val="18"/>
              </w:rPr>
              <w:t>Knowing work environments differ greatly, understand, and demonstrate effective work habits, and act in the interest of the larger community and workplace</w:t>
            </w:r>
          </w:p>
          <w:p w14:paraId="49386F83" w14:textId="77777777" w:rsidR="009C255D" w:rsidRPr="00FF5C33" w:rsidRDefault="009C255D" w:rsidP="00F63017">
            <w:pPr>
              <w:rPr>
                <w:sz w:val="18"/>
                <w:szCs w:val="18"/>
              </w:rPr>
            </w:pPr>
          </w:p>
        </w:tc>
        <w:tc>
          <w:tcPr>
            <w:tcW w:w="2696" w:type="dxa"/>
          </w:tcPr>
          <w:p w14:paraId="151AC42B" w14:textId="77777777" w:rsidR="009C255D" w:rsidRDefault="009C255D" w:rsidP="00F63017"/>
        </w:tc>
      </w:tr>
      <w:tr w:rsidR="009C255D" w14:paraId="14D00AA9" w14:textId="77777777" w:rsidTr="00F63017">
        <w:tc>
          <w:tcPr>
            <w:tcW w:w="3339" w:type="dxa"/>
          </w:tcPr>
          <w:p w14:paraId="58AB2C38" w14:textId="77777777" w:rsidR="009C255D" w:rsidRPr="00DD4BC3" w:rsidRDefault="009C255D" w:rsidP="00F63017">
            <w:pPr>
              <w:rPr>
                <w:b/>
                <w:bCs/>
              </w:rPr>
            </w:pPr>
            <w:r w:rsidRPr="00DD4BC3">
              <w:rPr>
                <w:b/>
                <w:bCs/>
              </w:rPr>
              <w:t>Teamwork</w:t>
            </w:r>
          </w:p>
        </w:tc>
        <w:tc>
          <w:tcPr>
            <w:tcW w:w="3315" w:type="dxa"/>
          </w:tcPr>
          <w:p w14:paraId="39CC47F8" w14:textId="77777777" w:rsidR="009C255D" w:rsidRPr="00FF5C33" w:rsidRDefault="009C255D" w:rsidP="00F63017">
            <w:pPr>
              <w:rPr>
                <w:sz w:val="18"/>
                <w:szCs w:val="18"/>
              </w:rPr>
            </w:pPr>
            <w:r w:rsidRPr="00FF5C33">
              <w:rPr>
                <w:sz w:val="18"/>
                <w:szCs w:val="18"/>
              </w:rPr>
              <w:t>Build and maintain relationships to work effectively toward common goals, while appreciating diverse viewpoints and shared responsibilities.</w:t>
            </w:r>
          </w:p>
        </w:tc>
        <w:tc>
          <w:tcPr>
            <w:tcW w:w="2696" w:type="dxa"/>
          </w:tcPr>
          <w:p w14:paraId="6CF1D6F3" w14:textId="77777777" w:rsidR="009C255D" w:rsidRDefault="009C255D" w:rsidP="00F63017"/>
        </w:tc>
      </w:tr>
      <w:tr w:rsidR="009C255D" w14:paraId="68AC5375" w14:textId="77777777" w:rsidTr="00F63017">
        <w:tc>
          <w:tcPr>
            <w:tcW w:w="3339" w:type="dxa"/>
          </w:tcPr>
          <w:p w14:paraId="0C35BBE8" w14:textId="77777777" w:rsidR="009C255D" w:rsidRPr="00DD4BC3" w:rsidRDefault="009C255D" w:rsidP="00F63017">
            <w:pPr>
              <w:rPr>
                <w:b/>
                <w:bCs/>
              </w:rPr>
            </w:pPr>
            <w:r w:rsidRPr="00DD4BC3">
              <w:rPr>
                <w:b/>
                <w:bCs/>
              </w:rPr>
              <w:t>Technology</w:t>
            </w:r>
          </w:p>
        </w:tc>
        <w:tc>
          <w:tcPr>
            <w:tcW w:w="3315" w:type="dxa"/>
          </w:tcPr>
          <w:p w14:paraId="047663D7" w14:textId="77777777" w:rsidR="009C255D" w:rsidRPr="00FF5C33" w:rsidRDefault="009C255D" w:rsidP="00F63017">
            <w:pPr>
              <w:rPr>
                <w:sz w:val="18"/>
                <w:szCs w:val="18"/>
              </w:rPr>
            </w:pPr>
            <w:r w:rsidRPr="00FF5C33">
              <w:rPr>
                <w:sz w:val="18"/>
                <w:szCs w:val="18"/>
              </w:rPr>
              <w:t>Understand and leverage technologies ethnically to enhance efficiencies, complete tasks and accomplish goals.</w:t>
            </w:r>
          </w:p>
        </w:tc>
        <w:tc>
          <w:tcPr>
            <w:tcW w:w="2696" w:type="dxa"/>
          </w:tcPr>
          <w:p w14:paraId="4CE0D731" w14:textId="77777777" w:rsidR="009C255D" w:rsidRDefault="009C255D" w:rsidP="00F63017"/>
        </w:tc>
      </w:tr>
    </w:tbl>
    <w:p w14:paraId="360A957B" w14:textId="77777777" w:rsidR="009C255D" w:rsidRDefault="009C255D" w:rsidP="009C255D">
      <w:pPr>
        <w:jc w:val="both"/>
        <w:rPr>
          <w:b/>
          <w:bCs/>
          <w:highlight w:val="yellow"/>
        </w:rPr>
      </w:pPr>
    </w:p>
    <w:p w14:paraId="4F1571B0" w14:textId="1A611FBC" w:rsidR="009C255D" w:rsidRDefault="009C255D" w:rsidP="009C255D">
      <w:pPr>
        <w:jc w:val="both"/>
        <w:rPr>
          <w:b/>
          <w:bCs/>
          <w:highlight w:val="yellow"/>
        </w:rPr>
      </w:pPr>
      <w:r w:rsidRPr="00B63A7D">
        <w:rPr>
          <w:rFonts w:cstheme="minorHAnsi"/>
          <w:u w:val="single"/>
        </w:rPr>
        <w:t>Note</w:t>
      </w:r>
      <w:r>
        <w:rPr>
          <w:rFonts w:cstheme="minorHAnsi"/>
        </w:rPr>
        <w:t>: No matter your level of experience, growth is a continual process. Even if you are highly skilled in some areas, you can decide to continue growing in these areas to further solidify and master your skills or decide to improve some of your areas where you are less skilled. You can continue your skill proficiency through trainings, certificate programs, experiential learning opportunities, and inside and outside classroom activities</w:t>
      </w:r>
      <w:r w:rsidRPr="00B63A7D">
        <w:rPr>
          <w:rFonts w:cstheme="minorHAnsi"/>
        </w:rPr>
        <w:t xml:space="preserve">. </w:t>
      </w:r>
      <w:r w:rsidRPr="00B63A7D">
        <w:t>If you are looking for additional experiential learning opportunities to get involved in, remember to check out the</w:t>
      </w:r>
      <w:r w:rsidRPr="00B63A7D">
        <w:rPr>
          <w:b/>
          <w:bCs/>
        </w:rPr>
        <w:t xml:space="preserve"> </w:t>
      </w:r>
      <w:hyperlink r:id="rId5" w:history="1">
        <w:r w:rsidRPr="009C255D">
          <w:rPr>
            <w:rStyle w:val="Hyperlink"/>
            <w:b/>
            <w:bCs/>
          </w:rPr>
          <w:t>University Career Services</w:t>
        </w:r>
      </w:hyperlink>
      <w:r w:rsidRPr="00B63A7D">
        <w:rPr>
          <w:b/>
          <w:bCs/>
        </w:rPr>
        <w:t xml:space="preserve"> </w:t>
      </w:r>
      <w:r w:rsidRPr="00674B2C">
        <w:t>website for upcoming professional development activities and events</w:t>
      </w:r>
      <w:r w:rsidRPr="00B63A7D">
        <w:rPr>
          <w:b/>
          <w:bCs/>
        </w:rPr>
        <w:t>.</w:t>
      </w:r>
    </w:p>
    <w:p w14:paraId="04B75D42" w14:textId="77777777" w:rsidR="009C255D" w:rsidRDefault="009C255D" w:rsidP="009C255D"/>
    <w:p w14:paraId="13EBD631" w14:textId="77777777" w:rsidR="00504BD0" w:rsidRDefault="00504BD0"/>
    <w:sectPr w:rsidR="0050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1B75"/>
    <w:multiLevelType w:val="hybridMultilevel"/>
    <w:tmpl w:val="E5A20CB6"/>
    <w:lvl w:ilvl="0" w:tplc="EC6EF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6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5D"/>
    <w:rsid w:val="00504BD0"/>
    <w:rsid w:val="009C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5632"/>
  <w15:chartTrackingRefBased/>
  <w15:docId w15:val="{E5D14E6D-1126-4AC9-8088-B51EDB3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5D"/>
    <w:pPr>
      <w:ind w:left="720"/>
      <w:contextualSpacing/>
    </w:pPr>
  </w:style>
  <w:style w:type="table" w:styleId="TableGrid">
    <w:name w:val="Table Grid"/>
    <w:basedOn w:val="TableNormal"/>
    <w:uiPriority w:val="59"/>
    <w:rsid w:val="009C2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C255D"/>
    <w:rPr>
      <w:color w:val="0563C1" w:themeColor="hyperlink"/>
      <w:u w:val="single"/>
    </w:rPr>
  </w:style>
  <w:style w:type="character" w:styleId="UnresolvedMention">
    <w:name w:val="Unresolved Mention"/>
    <w:basedOn w:val="DefaultParagraphFont"/>
    <w:uiPriority w:val="99"/>
    <w:semiHidden/>
    <w:unhideWhenUsed/>
    <w:rsid w:val="009C2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unc.edu/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Kelsey Alaine</dc:creator>
  <cp:keywords/>
  <dc:description/>
  <cp:lastModifiedBy>Durham, Kelsey Alaine</cp:lastModifiedBy>
  <cp:revision>1</cp:revision>
  <dcterms:created xsi:type="dcterms:W3CDTF">2022-08-19T13:00:00Z</dcterms:created>
  <dcterms:modified xsi:type="dcterms:W3CDTF">2022-08-19T13:04:00Z</dcterms:modified>
</cp:coreProperties>
</file>